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7A41D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160B969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四川云仓智能仓储承接的</w:t>
      </w:r>
      <w:r>
        <w:rPr>
          <w:rFonts w:hint="eastAsia" w:ascii="微软雅黑" w:hAnsi="微软雅黑" w:eastAsia="微软雅黑" w:cs="微软雅黑"/>
          <w:sz w:val="24"/>
          <w:szCs w:val="24"/>
        </w:rPr>
        <w:t>四川乐山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某</w:t>
      </w:r>
      <w:r>
        <w:rPr>
          <w:rFonts w:hint="eastAsia" w:ascii="微软雅黑" w:hAnsi="微软雅黑" w:eastAsia="微软雅黑" w:cs="微软雅黑"/>
          <w:sz w:val="24"/>
          <w:szCs w:val="24"/>
        </w:rPr>
        <w:t>供应链公司不锈钢货架整体项目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仓库现在：存在高湿度、清洗频繁、酸碱清洁剂、2–8℃冷藏库区，普通喷塑碳钢货架 1–2 年大面积锈蚀，存在货物污染、承重下降、不符合食品 / 中药材存储卫生规范问题，项目采用</w:t>
      </w:r>
      <w:r>
        <w:rPr>
          <w:rFonts w:hint="eastAsia" w:ascii="微软雅黑" w:hAnsi="微软雅黑" w:eastAsia="微软雅黑" w:cs="微软雅黑"/>
          <w:sz w:val="24"/>
          <w:szCs w:val="24"/>
        </w:rPr>
        <w:t>食品级不锈钢，防锈耐酸碱，可高压冲洗无涂层脱落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  <w:r>
        <w:rPr>
          <w:rFonts w:hint="eastAsia" w:ascii="微软雅黑" w:hAnsi="微软雅黑" w:eastAsia="微软雅黑" w:cs="微软雅黑"/>
          <w:sz w:val="24"/>
          <w:szCs w:val="24"/>
        </w:rPr>
        <w:t>模块化组装，层高 50mm可调，适配多规格周转箱 / 纸箱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  <w:r>
        <w:rPr>
          <w:rFonts w:hint="eastAsia" w:ascii="微软雅黑" w:hAnsi="微软雅黑" w:eastAsia="微软雅黑" w:cs="微软雅黑"/>
          <w:sz w:val="24"/>
          <w:szCs w:val="24"/>
        </w:rPr>
        <w:t>满足食品流通、中药材仓储卫生查验标准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50765D5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1125B09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一、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材质选型标准</w:t>
      </w:r>
    </w:p>
    <w:p w14:paraId="07AD368C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E960114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常温分拣 / 干货区：304 食品级不锈钢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616242B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9DFFD33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立柱：38×38mm 实厚 1.2mm 304 方管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2272914E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 w14:paraId="3357EBE1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横梁：38×25mm 实厚 1.0mm 304 矩形管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0F881F9E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 w14:paraId="74E504AA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层板：1.2mm 拉丝 304 平板，底部 U 型加强筋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44D65D15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 w14:paraId="35632F1F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性能：抵御乐山潮湿水汽、日常酒精消毒，中性盐雾 240h 无锈点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52F144BD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 w14:paraId="6A7B49D3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单层承重：200kg，整架四层总载 800kg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61AC3E1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6CF56A5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4"/>
          <w:szCs w:val="24"/>
        </w:rPr>
        <w:t>冷藏库 + 消杀清洗间：316L 不锈钢</w:t>
      </w:r>
    </w:p>
    <w:p w14:paraId="5D852E8A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6E32ADF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库区长期高湿、含盐分、有机酸（腌制品、中药材浸液），316L 钼元素强化耐</w:t>
      </w:r>
    </w:p>
    <w:p w14:paraId="0B17192D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酸碱、耐盐雾，低温环境结构稳定无热胀松动。</w:t>
      </w:r>
    </w:p>
    <w:p w14:paraId="4C376EC1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 w14:paraId="001F6A73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层板加厚 1.5mm，焊缝满焊抛光无卫生死角连接件全部不锈钢螺栓，无碳钢配件腐蚀污染货物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31A82FAB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51643FF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二、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结构优势</w:t>
      </w:r>
    </w:p>
    <w:p w14:paraId="36994C7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416E145B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全组装卡扣式，无现场焊接，拆装迁移不损伤仓库地面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6AB47770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 w14:paraId="27ABAE62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层距 50mm 无级调节，适配周转箱、塑料筐、纸箱多种货型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3733CC37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 w14:paraId="67B6D080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底部可调不锈钢脚杯，适配仓库轻微地坪落差，防滑静音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4EB3BC1B">
      <w:pPr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</w:p>
    <w:p w14:paraId="1C378BEC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sz w:val="24"/>
          <w:szCs w:val="24"/>
        </w:rPr>
        <w:t>表面拉丝哑光，无反光、无积灰死角，清水 + 消毒液直接冲洗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6CF8B6D6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</w:p>
    <w:p w14:paraId="5276DCEB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三、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项目核心适配行业优势</w:t>
      </w:r>
    </w:p>
    <w:p w14:paraId="040388A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0EE602B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sz w:val="24"/>
          <w:szCs w:val="24"/>
        </w:rPr>
        <w:t>地域环境适配 乐山临江空气湿度大，生鲜、调味品、中药材仓储水汽重，不锈钢彻底解决碳钢货架生锈、锈渣污染食品的合规风险，延长使用寿命 3–5 倍。</w:t>
      </w:r>
    </w:p>
    <w:p w14:paraId="184A683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EA461D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4"/>
          <w:szCs w:val="24"/>
        </w:rPr>
        <w:t>行业合规保障 满足食品经营仓储、中药材流通卫生检查，无油漆涂层脱落隐患，无需每年翻新喷涂，降低长期运维成本。</w:t>
      </w:r>
    </w:p>
    <w:p w14:paraId="6D4DBE55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C77A64D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4"/>
          <w:szCs w:val="24"/>
        </w:rPr>
        <w:t>本地交付服务 依托乐山沙湾不锈钢产业集群（四川宏旺不锈钢原材料基地）+ 川内货架工厂，板材采购、加工、本地物流、上门安装一站式，交付周期 12–18 天，售后快速上门维保。</w:t>
      </w:r>
    </w:p>
    <w:p w14:paraId="7B75A01E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B94651E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空间利用率提升 模块化多层结构充分利用仓库垂直高度，对比传统地面堆货库容提升 60%，支持先进先出管理，适配供应链快周转分拨需求。</w:t>
      </w:r>
    </w:p>
    <w:p w14:paraId="63CCEF16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791BB222">
      <w:pPr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四、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施工与售后标准</w:t>
      </w:r>
    </w:p>
    <w:p w14:paraId="5CAD8011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51409156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生产工艺：管材激光切割、氩弧满焊、焊缝镜面抛光，无毛刺划伤货物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6F352CB1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3A107072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验收标准：每批次附带不锈钢材质检测报告、盐雾测试报告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6C86FBA2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6B7B7B93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质保：整体货架 1 年质保，不锈钢配件终身成本价更换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；</w:t>
      </w:r>
    </w:p>
    <w:p w14:paraId="60103F5F">
      <w:pPr>
        <w:rPr>
          <w:rFonts w:hint="eastAsia" w:ascii="微软雅黑" w:hAnsi="微软雅黑" w:eastAsia="微软雅黑" w:cs="微软雅黑"/>
          <w:sz w:val="24"/>
          <w:szCs w:val="24"/>
        </w:rPr>
      </w:pPr>
    </w:p>
    <w:p w14:paraId="2EB070C4">
      <w:pPr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配套增值：免费仓库布局勘测、货架使用维护培训、后期库区扩容改尺服务</w:t>
      </w:r>
      <w:r>
        <w:rPr>
          <w:rFonts w:hint="eastAsia" w:ascii="微软雅黑" w:hAnsi="微软雅黑" w:eastAsia="微软雅黑" w:cs="微软雅黑"/>
          <w:sz w:val="24"/>
          <w:szCs w:val="24"/>
          <w:lang w:eastAsia="zh-CN"/>
        </w:rPr>
        <w:t>。</w:t>
      </w:r>
    </w:p>
    <w:p w14:paraId="319C7F0D"/>
    <w:p w14:paraId="4AF9F5FE"/>
    <w:p w14:paraId="3A6F6C53"/>
    <w:p w14:paraId="520EAD74">
      <w:pPr>
        <w:rPr>
          <w:rFonts w:hint="eastAsia" w:eastAsia="宋体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76180B"/>
    <w:rsid w:val="15C34AB0"/>
    <w:rsid w:val="26CC40BC"/>
    <w:rsid w:val="40B557B9"/>
    <w:rsid w:val="4B320132"/>
    <w:rsid w:val="50A5094E"/>
    <w:rsid w:val="52C43D06"/>
    <w:rsid w:val="583A6878"/>
    <w:rsid w:val="60563B24"/>
    <w:rsid w:val="625B6EC6"/>
    <w:rsid w:val="7E40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1073</Words>
  <Characters>1134</Characters>
  <Lines>0</Lines>
  <Paragraphs>0</Paragraphs>
  <TotalTime>142</TotalTime>
  <ScaleCrop>false</ScaleCrop>
  <LinksUpToDate>false</LinksUpToDate>
  <CharactersWithSpaces>1183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2026-07-13T02:00:00Z</dcterms:created>
  <dc:creator>admin</dc:creator>
  <cp:lastModifiedBy>微信用户</cp:lastModifiedBy>
  <dcterms:modified xsi:type="dcterms:W3CDTF">2026-09-17T02:39:09Z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eyJoZGlkIjoiY2EzMGY4ZDlhMWNhOGZjNzcyYzliMGEyOTEwM2FlYzciLCJ1c2VySWQiOiIxNzQ4NjY5NjgwIn0=</vt:lpwstr>
  </property>
  <property fmtid="{D5CDD505-2E9C-101B-9397-08002B2CF9AE}" pid="4" name="ICV">
    <vt:lpwstr>9F07D614800147E6A2C9A29030CDAB76_12</vt:lpwstr>
  </property>
</Properties>
</file>